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BB6A" w14:textId="378E88BC" w:rsidR="00E316B3" w:rsidRPr="00761F35" w:rsidRDefault="00F23272" w:rsidP="00E316B3">
      <w:pPr>
        <w:pStyle w:val="Zahlavi"/>
        <w:rPr>
          <w:color w:val="000000" w:themeColor="text1"/>
        </w:rPr>
      </w:pPr>
      <w:bookmarkStart w:id="0" w:name="_Hlk148882321"/>
      <w:bookmarkEnd w:id="0"/>
      <w:r>
        <w:rPr>
          <w:color w:val="000000" w:themeColor="text1"/>
        </w:rPr>
        <w:t xml:space="preserve">MASARYKŮV ÚSTAV VYŠŠÍCH STUDIÍ </w:t>
      </w:r>
      <w:r w:rsidR="00E316B3" w:rsidRPr="00761F35">
        <w:rPr>
          <w:color w:val="000000" w:themeColor="text1"/>
        </w:rPr>
        <w:t>ČVUT v praze | </w:t>
      </w:r>
      <w:r>
        <w:rPr>
          <w:color w:val="000000" w:themeColor="text1"/>
        </w:rPr>
        <w:t>SEKRETARIÁT ŘEDITELE</w:t>
      </w:r>
    </w:p>
    <w:p w14:paraId="131DA940" w14:textId="13CC554A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>KOLEJNÍ</w:t>
      </w:r>
      <w:r w:rsidR="00E316B3" w:rsidRPr="00761F35">
        <w:rPr>
          <w:color w:val="000000" w:themeColor="text1"/>
        </w:rPr>
        <w:t xml:space="preserve"> </w:t>
      </w:r>
      <w:r>
        <w:rPr>
          <w:color w:val="000000" w:themeColor="text1"/>
        </w:rPr>
        <w:t>2637/2A</w:t>
      </w:r>
      <w:r w:rsidR="00E316B3" w:rsidRPr="00761F35">
        <w:rPr>
          <w:color w:val="000000" w:themeColor="text1"/>
        </w:rPr>
        <w:t>, 160 00 Praha 6</w:t>
      </w:r>
    </w:p>
    <w:p w14:paraId="692C84D6" w14:textId="4B4323D7" w:rsidR="00487551" w:rsidRPr="00CA329F" w:rsidRDefault="00487551" w:rsidP="00487551">
      <w:pPr>
        <w:pStyle w:val="Zahlavi"/>
      </w:pPr>
      <w:r w:rsidRPr="00CA329F">
        <w:t xml:space="preserve">V Praze </w:t>
      </w:r>
      <w:r w:rsidR="00E667CD">
        <w:t>13</w:t>
      </w:r>
      <w:r w:rsidR="002759C3" w:rsidRPr="006E1F9C">
        <w:t>.</w:t>
      </w:r>
      <w:r w:rsidR="00A87109">
        <w:t xml:space="preserve"> </w:t>
      </w:r>
      <w:r w:rsidR="00E667CD">
        <w:t>5</w:t>
      </w:r>
      <w:r w:rsidRPr="006E1F9C">
        <w:t>. 202</w:t>
      </w:r>
      <w:r w:rsidR="00E52BBE">
        <w:t>5</w:t>
      </w:r>
    </w:p>
    <w:p w14:paraId="208D6280" w14:textId="6495F247" w:rsidR="00C10E19" w:rsidRPr="00CA329F" w:rsidRDefault="00C10E19" w:rsidP="00A93218">
      <w:pPr>
        <w:pStyle w:val="Zahlavi"/>
        <w:rPr>
          <w:rFonts w:cs="Arial"/>
        </w:rPr>
      </w:pPr>
    </w:p>
    <w:p w14:paraId="4393C8EF" w14:textId="74CB97EB" w:rsidR="00A93218" w:rsidRPr="00E667CD" w:rsidRDefault="00A93218" w:rsidP="00E667CD">
      <w:pPr>
        <w:pStyle w:val="Zahlavi"/>
        <w:rPr>
          <w:rFonts w:cs="Arial"/>
        </w:rPr>
      </w:pPr>
      <w:r w:rsidRPr="00CA329F">
        <w:rPr>
          <w:rFonts w:cs="Arial"/>
        </w:rPr>
        <w:t>Kontakt pro média</w:t>
      </w:r>
      <w:r w:rsidRPr="00E667CD">
        <w:rPr>
          <w:rFonts w:cs="Arial"/>
        </w:rPr>
        <w:t> | </w:t>
      </w:r>
      <w:r w:rsidR="00E667CD" w:rsidRPr="00E667CD">
        <w:rPr>
          <w:rFonts w:cs="Arial"/>
        </w:rPr>
        <w:t>Mgr. Michael Pondělíček, Ph.D.</w:t>
      </w:r>
      <w:r w:rsidR="00E667CD" w:rsidRPr="00E667CD">
        <w:rPr>
          <w:rFonts w:cs="Arial"/>
        </w:rPr>
        <w:br/>
      </w:r>
      <w:hyperlink r:id="rId11" w:history="1">
        <w:r w:rsidR="00E667CD" w:rsidRPr="00E667CD">
          <w:rPr>
            <w:rFonts w:cs="Arial"/>
          </w:rPr>
          <w:t>michael.pondelicek@cvut.cz</w:t>
        </w:r>
      </w:hyperlink>
      <w:r w:rsidR="00E667CD" w:rsidRPr="00E667CD">
        <w:rPr>
          <w:rFonts w:cs="Arial"/>
        </w:rPr>
        <w:t xml:space="preserve">, </w:t>
      </w:r>
      <w:r w:rsidR="00E667CD" w:rsidRPr="00E667CD">
        <w:rPr>
          <w:rFonts w:cs="Arial"/>
        </w:rPr>
        <w:t>+420 602 268</w:t>
      </w:r>
      <w:r w:rsidR="00E667CD" w:rsidRPr="00E667CD">
        <w:rPr>
          <w:rFonts w:ascii="Calibri" w:hAnsi="Calibri" w:cs="Calibri"/>
        </w:rPr>
        <w:t> </w:t>
      </w:r>
      <w:r w:rsidR="00E667CD" w:rsidRPr="00E667CD">
        <w:rPr>
          <w:rFonts w:cs="Arial"/>
        </w:rPr>
        <w:t>908</w:t>
      </w:r>
      <w:r w:rsidR="00E667CD" w:rsidRPr="00E667CD">
        <w:rPr>
          <w:rFonts w:cs="Arial"/>
        </w:rPr>
        <w:br/>
      </w:r>
    </w:p>
    <w:p w14:paraId="69B1BE8B" w14:textId="02D5EBFE" w:rsidR="00CA329F" w:rsidRPr="006257D7" w:rsidRDefault="00CA329F" w:rsidP="00FB58BF">
      <w:pPr>
        <w:rPr>
          <w:b/>
          <w:bCs/>
          <w:caps/>
          <w:spacing w:val="8"/>
          <w:sz w:val="28"/>
          <w:szCs w:val="28"/>
        </w:rPr>
      </w:pPr>
    </w:p>
    <w:p w14:paraId="75792457" w14:textId="2656C0B3" w:rsidR="00E667CD" w:rsidRPr="00E667CD" w:rsidRDefault="00E667CD" w:rsidP="00E667CD">
      <w:pPr>
        <w:rPr>
          <w:b/>
          <w:bCs/>
          <w:caps/>
          <w:spacing w:val="8"/>
          <w:sz w:val="28"/>
          <w:szCs w:val="28"/>
        </w:rPr>
      </w:pPr>
      <w:r w:rsidRPr="00E667CD">
        <w:rPr>
          <w:b/>
          <w:bCs/>
          <w:caps/>
          <w:spacing w:val="8"/>
          <w:sz w:val="28"/>
          <w:szCs w:val="28"/>
        </w:rPr>
        <w:t xml:space="preserve">Program rozvojové pomoci a transferu zkušeností </w:t>
      </w:r>
      <w:r w:rsidR="006257D7" w:rsidRPr="006257D7">
        <w:rPr>
          <w:b/>
          <w:bCs/>
          <w:caps/>
          <w:spacing w:val="8"/>
          <w:sz w:val="28"/>
          <w:szCs w:val="28"/>
        </w:rPr>
        <w:t>PRO ROZVOJ POSTIŽENÝCH OBLASTÍ UKRAJINY</w:t>
      </w:r>
      <w:r w:rsidR="006257D7" w:rsidRPr="00E667CD">
        <w:rPr>
          <w:b/>
          <w:bCs/>
          <w:caps/>
          <w:spacing w:val="8"/>
          <w:sz w:val="28"/>
          <w:szCs w:val="28"/>
        </w:rPr>
        <w:t xml:space="preserve"> </w:t>
      </w:r>
      <w:r w:rsidRPr="00E667CD">
        <w:rPr>
          <w:b/>
          <w:bCs/>
          <w:caps/>
          <w:spacing w:val="8"/>
          <w:sz w:val="28"/>
          <w:szCs w:val="28"/>
        </w:rPr>
        <w:t xml:space="preserve">pokračuje </w:t>
      </w:r>
      <w:r>
        <w:rPr>
          <w:b/>
          <w:bCs/>
          <w:caps/>
          <w:spacing w:val="8"/>
          <w:sz w:val="28"/>
          <w:szCs w:val="28"/>
        </w:rPr>
        <w:t xml:space="preserve">na MÚVS ČVUT </w:t>
      </w:r>
      <w:r w:rsidRPr="00E667CD">
        <w:rPr>
          <w:b/>
          <w:bCs/>
          <w:caps/>
          <w:spacing w:val="8"/>
          <w:sz w:val="28"/>
          <w:szCs w:val="28"/>
        </w:rPr>
        <w:t>druhým rokem</w:t>
      </w:r>
    </w:p>
    <w:p w14:paraId="13538576" w14:textId="130146E2" w:rsidR="006257D7" w:rsidRPr="006257D7" w:rsidRDefault="00FA6C90" w:rsidP="006257D7">
      <w:pPr>
        <w:widowControl/>
        <w:spacing w:before="100" w:beforeAutospacing="1" w:after="100" w:afterAutospacing="1" w:line="240" w:lineRule="auto"/>
        <w:rPr>
          <w:b/>
          <w:bCs/>
          <w:sz w:val="24"/>
        </w:rPr>
      </w:pPr>
      <w:r w:rsidRPr="00FA6C90">
        <w:rPr>
          <w:b/>
          <w:bCs/>
          <w:sz w:val="24"/>
        </w:rPr>
        <w:t xml:space="preserve">Na Masarykově ústavu vyšších studií ČVUT v Praze zahajuje tvůrčí tým pedagogů úvodní fázi prací na pokračování loňského grantu </w:t>
      </w:r>
      <w:r w:rsidRPr="00FA6C90">
        <w:rPr>
          <w:b/>
          <w:bCs/>
          <w:i/>
          <w:iCs/>
          <w:sz w:val="24"/>
        </w:rPr>
        <w:t>Posilování kapacity a transfer znalostí na VŠ pro rozvoj postižených oblastí Ukrajiny</w:t>
      </w:r>
      <w:r w:rsidRPr="00FA6C90">
        <w:rPr>
          <w:b/>
          <w:bCs/>
          <w:sz w:val="24"/>
        </w:rPr>
        <w:t xml:space="preserve">. Projekt je realizován s finanční podporou Ministerstva zahraničních věcí ČR v rámci programu zahraniční rozvojové spolupráce </w:t>
      </w:r>
      <w:proofErr w:type="spellStart"/>
      <w:r w:rsidRPr="0049794D">
        <w:rPr>
          <w:b/>
          <w:bCs/>
          <w:sz w:val="24"/>
        </w:rPr>
        <w:t>CzechAid</w:t>
      </w:r>
      <w:proofErr w:type="spellEnd"/>
      <w:r w:rsidRPr="0049794D">
        <w:rPr>
          <w:b/>
          <w:bCs/>
          <w:sz w:val="24"/>
        </w:rPr>
        <w:t>.</w:t>
      </w:r>
    </w:p>
    <w:p w14:paraId="34FEBAB7" w14:textId="77777777" w:rsidR="006257D7" w:rsidRDefault="006257D7" w:rsidP="006257D7">
      <w:pPr>
        <w:rPr>
          <w:sz w:val="22"/>
          <w:szCs w:val="22"/>
        </w:rPr>
      </w:pPr>
    </w:p>
    <w:p w14:paraId="14E62AD7" w14:textId="4FBD0148" w:rsidR="0049794D" w:rsidRPr="0049794D" w:rsidRDefault="0049794D" w:rsidP="006257D7">
      <w:pPr>
        <w:rPr>
          <w:sz w:val="22"/>
          <w:szCs w:val="22"/>
        </w:rPr>
      </w:pPr>
      <w:r w:rsidRPr="0049794D">
        <w:rPr>
          <w:sz w:val="22"/>
          <w:szCs w:val="22"/>
        </w:rPr>
        <w:t xml:space="preserve">Smyslem iniciativy je navázat na úspěšně realizovaný projekt z roku 2024, jehož cílem bylo ukázat nejen akademické obci, ale také aktivním občanům, </w:t>
      </w:r>
      <w:r w:rsidRPr="0049794D">
        <w:rPr>
          <w:sz w:val="22"/>
          <w:szCs w:val="22"/>
        </w:rPr>
        <w:t>neziskovým organizacím</w:t>
      </w:r>
      <w:r w:rsidRPr="0049794D">
        <w:rPr>
          <w:sz w:val="22"/>
          <w:szCs w:val="22"/>
        </w:rPr>
        <w:t xml:space="preserve"> a zástupcům veřejné správy na Ukrajině cestu, jak lze plánovat rozvoj a obnovu měst a obcí v podmínkách poválečné obnovy, transformující se ekonomiky a omezených zdrojů – a zároveň být schopni v rámci společensky odpovědné vědy a výuky zajistit vzdělávání a rozvoj kompetencí studentů i pedagogů.</w:t>
      </w:r>
    </w:p>
    <w:p w14:paraId="2207BEB3" w14:textId="03D81D3C" w:rsidR="00E667CD" w:rsidRPr="00E667CD" w:rsidRDefault="00E667CD" w:rsidP="006257D7">
      <w:pPr>
        <w:rPr>
          <w:sz w:val="22"/>
          <w:szCs w:val="22"/>
        </w:rPr>
      </w:pPr>
      <w:r w:rsidRPr="00E667CD">
        <w:rPr>
          <w:sz w:val="22"/>
          <w:szCs w:val="22"/>
        </w:rPr>
        <w:t xml:space="preserve">Výchozím partnerem projektu je O. M. </w:t>
      </w:r>
      <w:proofErr w:type="spellStart"/>
      <w:r w:rsidRPr="00E667CD">
        <w:rPr>
          <w:sz w:val="22"/>
          <w:szCs w:val="22"/>
        </w:rPr>
        <w:t>Beketovova</w:t>
      </w:r>
      <w:proofErr w:type="spellEnd"/>
      <w:r w:rsidRPr="00E667CD">
        <w:rPr>
          <w:sz w:val="22"/>
          <w:szCs w:val="22"/>
        </w:rPr>
        <w:t xml:space="preserve"> národní univerzita urbánní ekonomie v </w:t>
      </w:r>
      <w:proofErr w:type="spellStart"/>
      <w:r w:rsidRPr="00E667CD">
        <w:rPr>
          <w:sz w:val="22"/>
          <w:szCs w:val="22"/>
        </w:rPr>
        <w:t>Charkivu</w:t>
      </w:r>
      <w:proofErr w:type="spellEnd"/>
      <w:r w:rsidRPr="00E667CD">
        <w:rPr>
          <w:sz w:val="22"/>
          <w:szCs w:val="22"/>
        </w:rPr>
        <w:t xml:space="preserve">. Nově se k programu přidávají také </w:t>
      </w:r>
      <w:proofErr w:type="spellStart"/>
      <w:r w:rsidRPr="00E667CD">
        <w:rPr>
          <w:sz w:val="22"/>
          <w:szCs w:val="22"/>
        </w:rPr>
        <w:t>Poliská</w:t>
      </w:r>
      <w:proofErr w:type="spellEnd"/>
      <w:r w:rsidRPr="00E667CD">
        <w:rPr>
          <w:sz w:val="22"/>
          <w:szCs w:val="22"/>
        </w:rPr>
        <w:t xml:space="preserve"> národní univerzita v </w:t>
      </w:r>
      <w:proofErr w:type="spellStart"/>
      <w:r w:rsidRPr="00E667CD">
        <w:rPr>
          <w:sz w:val="22"/>
          <w:szCs w:val="22"/>
        </w:rPr>
        <w:t>Žitomyru</w:t>
      </w:r>
      <w:proofErr w:type="spellEnd"/>
      <w:r w:rsidRPr="00E667CD">
        <w:rPr>
          <w:sz w:val="22"/>
          <w:szCs w:val="22"/>
        </w:rPr>
        <w:t xml:space="preserve">, </w:t>
      </w:r>
      <w:proofErr w:type="spellStart"/>
      <w:r w:rsidRPr="00E667CD">
        <w:rPr>
          <w:sz w:val="22"/>
          <w:szCs w:val="22"/>
        </w:rPr>
        <w:t>Lvivská</w:t>
      </w:r>
      <w:proofErr w:type="spellEnd"/>
      <w:r w:rsidRPr="00E667CD">
        <w:rPr>
          <w:sz w:val="22"/>
          <w:szCs w:val="22"/>
        </w:rPr>
        <w:t xml:space="preserve"> národní polytechnika a </w:t>
      </w:r>
      <w:proofErr w:type="spellStart"/>
      <w:r w:rsidRPr="00E667CD">
        <w:rPr>
          <w:sz w:val="22"/>
          <w:szCs w:val="22"/>
        </w:rPr>
        <w:t>Mykolajivská</w:t>
      </w:r>
      <w:proofErr w:type="spellEnd"/>
      <w:r w:rsidRPr="00E667CD">
        <w:rPr>
          <w:sz w:val="22"/>
          <w:szCs w:val="22"/>
        </w:rPr>
        <w:t xml:space="preserve"> národní zemědělská univerzita. O účast projevují zájem i další univerzity mimo oficiální rámec.</w:t>
      </w:r>
      <w:r w:rsidR="006257D7">
        <w:rPr>
          <w:sz w:val="22"/>
          <w:szCs w:val="22"/>
        </w:rPr>
        <w:t xml:space="preserve"> </w:t>
      </w:r>
      <w:r w:rsidRPr="00E667CD">
        <w:rPr>
          <w:sz w:val="22"/>
          <w:szCs w:val="22"/>
        </w:rPr>
        <w:t xml:space="preserve">V návaznosti na pozitivní zkušenosti bude výuka a vědecká spolupráce rozvíjena nejen ve spojení s ČVUT, ale i s univerzitami v Německu, Polsku a Rakousku. Důležitým přínosem budou i odborné znalosti pedagogů z Ekonomicko-technologické univerzity v </w:t>
      </w:r>
      <w:proofErr w:type="spellStart"/>
      <w:r w:rsidRPr="00E667CD">
        <w:rPr>
          <w:sz w:val="22"/>
          <w:szCs w:val="22"/>
        </w:rPr>
        <w:t>Prištině</w:t>
      </w:r>
      <w:proofErr w:type="spellEnd"/>
      <w:r w:rsidRPr="00E667CD">
        <w:rPr>
          <w:sz w:val="22"/>
          <w:szCs w:val="22"/>
        </w:rPr>
        <w:t xml:space="preserve"> (UBT), kteří sdílejí zkušenosti s obnovou měst po konfliktu v Kosovu.</w:t>
      </w:r>
    </w:p>
    <w:p w14:paraId="51AB2D91" w14:textId="4EBF6BB2" w:rsidR="00E667CD" w:rsidRPr="00E667CD" w:rsidRDefault="00E667CD" w:rsidP="00E667CD">
      <w:pPr>
        <w:rPr>
          <w:sz w:val="22"/>
          <w:szCs w:val="22"/>
        </w:rPr>
      </w:pPr>
      <w:r w:rsidRPr="00E667CD">
        <w:rPr>
          <w:sz w:val="22"/>
          <w:szCs w:val="22"/>
        </w:rPr>
        <w:t xml:space="preserve">Hlavní ambicí letošní etapy je vytvoření mezinárodního výzkumného konsorcia schopného společně řešit projekty zaměřené na rekonstrukci válkou poškozených ukrajinských měst. Do aktivit se přidají i další fakulty ČVUT, včetně Fakulty architektury, a pro ukrajinské akademiky budou </w:t>
      </w:r>
      <w:r w:rsidR="0049794D">
        <w:rPr>
          <w:sz w:val="22"/>
          <w:szCs w:val="22"/>
        </w:rPr>
        <w:t>zajištěny</w:t>
      </w:r>
      <w:r w:rsidRPr="00E667CD">
        <w:rPr>
          <w:sz w:val="22"/>
          <w:szCs w:val="22"/>
        </w:rPr>
        <w:t xml:space="preserve"> odborné stáže na různých pracovištích univerzity.</w:t>
      </w:r>
    </w:p>
    <w:p w14:paraId="5AFF4682" w14:textId="247B6BC5" w:rsidR="00E667CD" w:rsidRPr="00E667CD" w:rsidRDefault="00E667CD" w:rsidP="00E667CD">
      <w:pPr>
        <w:rPr>
          <w:sz w:val="22"/>
          <w:szCs w:val="22"/>
        </w:rPr>
      </w:pPr>
      <w:r w:rsidRPr="00E667CD">
        <w:rPr>
          <w:sz w:val="22"/>
          <w:szCs w:val="22"/>
        </w:rPr>
        <w:t xml:space="preserve">Přípravná část </w:t>
      </w:r>
      <w:r w:rsidR="0049794D">
        <w:rPr>
          <w:sz w:val="22"/>
          <w:szCs w:val="22"/>
        </w:rPr>
        <w:t xml:space="preserve">projektu </w:t>
      </w:r>
      <w:r w:rsidRPr="00E667CD">
        <w:rPr>
          <w:sz w:val="22"/>
          <w:szCs w:val="22"/>
        </w:rPr>
        <w:t>probíhá od dubna do června a soustředí se na budování kontaktů a vyhledávání vhodných partnerů</w:t>
      </w:r>
      <w:r w:rsidR="0049794D">
        <w:rPr>
          <w:sz w:val="22"/>
          <w:szCs w:val="22"/>
        </w:rPr>
        <w:t xml:space="preserve"> zainteresovaných univerzit</w:t>
      </w:r>
      <w:r w:rsidRPr="00E667CD">
        <w:rPr>
          <w:sz w:val="22"/>
          <w:szCs w:val="22"/>
        </w:rPr>
        <w:t>. Vyvrcholením bude online setkání všech zúčastněných institucí dne 18. června. Na ukrajinských univerzitách právě probíhá výběr akademiků pro odborné pobyty v</w:t>
      </w:r>
      <w:r w:rsidR="0049794D">
        <w:rPr>
          <w:rFonts w:ascii="Calibri" w:hAnsi="Calibri" w:cs="Calibri"/>
          <w:sz w:val="22"/>
          <w:szCs w:val="22"/>
        </w:rPr>
        <w:t> </w:t>
      </w:r>
      <w:r w:rsidRPr="00E667CD">
        <w:rPr>
          <w:sz w:val="22"/>
          <w:szCs w:val="22"/>
        </w:rPr>
        <w:t>ČR</w:t>
      </w:r>
      <w:r w:rsidR="0049794D">
        <w:rPr>
          <w:sz w:val="22"/>
          <w:szCs w:val="22"/>
        </w:rPr>
        <w:t xml:space="preserve"> a další aktivity</w:t>
      </w:r>
      <w:r w:rsidRPr="00E667CD">
        <w:rPr>
          <w:sz w:val="22"/>
          <w:szCs w:val="22"/>
        </w:rPr>
        <w:t xml:space="preserve">. V navazující fázi </w:t>
      </w:r>
      <w:r w:rsidRPr="00E667CD">
        <w:rPr>
          <w:sz w:val="22"/>
          <w:szCs w:val="22"/>
        </w:rPr>
        <w:lastRenderedPageBreak/>
        <w:t xml:space="preserve">vycestují čeští akademici do </w:t>
      </w:r>
      <w:proofErr w:type="spellStart"/>
      <w:r w:rsidRPr="00E667CD">
        <w:rPr>
          <w:sz w:val="22"/>
          <w:szCs w:val="22"/>
        </w:rPr>
        <w:t>Žitomyru</w:t>
      </w:r>
      <w:proofErr w:type="spellEnd"/>
      <w:r w:rsidRPr="00E667CD">
        <w:rPr>
          <w:sz w:val="22"/>
          <w:szCs w:val="22"/>
        </w:rPr>
        <w:t xml:space="preserve"> a Lvova, zatímco na podzim přijedou jejich ukrajinští kolegové na stáže do Prahy. Klíčovým momentem bude workshop vznikajícího výzkumného konsorcia, který se uskuteční 16.–17. října na Masarykově ústavu vyšších studií</w:t>
      </w:r>
      <w:r w:rsidR="0049794D">
        <w:rPr>
          <w:sz w:val="22"/>
          <w:szCs w:val="22"/>
        </w:rPr>
        <w:t xml:space="preserve"> ČVUT v Praze</w:t>
      </w:r>
      <w:r w:rsidRPr="00E667CD">
        <w:rPr>
          <w:sz w:val="22"/>
          <w:szCs w:val="22"/>
        </w:rPr>
        <w:t>.</w:t>
      </w:r>
    </w:p>
    <w:p w14:paraId="43408460" w14:textId="6E9906E3" w:rsidR="00E667CD" w:rsidRDefault="00E667CD" w:rsidP="00E667CD">
      <w:pPr>
        <w:rPr>
          <w:sz w:val="22"/>
          <w:szCs w:val="22"/>
        </w:rPr>
      </w:pPr>
      <w:r w:rsidRPr="00E667CD">
        <w:rPr>
          <w:sz w:val="22"/>
          <w:szCs w:val="22"/>
        </w:rPr>
        <w:t>Projekt ukazuje, že i v obtížných podmínkách může vznikat silná mezinárodní spolupráce, která je profesionální, přátelská a zaměřená na skutečnou pomoc.</w:t>
      </w:r>
    </w:p>
    <w:p w14:paraId="51C8F295" w14:textId="77777777" w:rsidR="00E667CD" w:rsidRPr="00E667CD" w:rsidRDefault="00E667CD" w:rsidP="00E667CD">
      <w:pPr>
        <w:rPr>
          <w:sz w:val="22"/>
          <w:szCs w:val="22"/>
        </w:rPr>
      </w:pPr>
    </w:p>
    <w:p w14:paraId="78E11209" w14:textId="77777777" w:rsidR="00E667CD" w:rsidRDefault="00E667CD" w:rsidP="00E667CD">
      <w:pPr>
        <w:widowControl/>
        <w:spacing w:line="240" w:lineRule="auto"/>
        <w:rPr>
          <w:rFonts w:ascii="Times New Roman" w:eastAsia="Times New Roman" w:hAnsi="Times New Roman" w:cs="Times New Roman"/>
          <w:lang w:eastAsia="cs-CZ" w:bidi="ar-SA"/>
        </w:rPr>
      </w:pPr>
    </w:p>
    <w:p w14:paraId="2F354CCF" w14:textId="0D5B0BD1" w:rsidR="00EA3B2D" w:rsidRPr="00E667CD" w:rsidRDefault="00EA3B2D" w:rsidP="00E667CD">
      <w:pPr>
        <w:widowControl/>
        <w:spacing w:line="240" w:lineRule="auto"/>
        <w:rPr>
          <w:rFonts w:ascii="Times New Roman" w:eastAsia="Times New Roman" w:hAnsi="Times New Roman" w:cs="Times New Roman"/>
          <w:i/>
          <w:iCs/>
          <w:sz w:val="24"/>
          <w:lang w:eastAsia="cs-CZ" w:bidi="ar-SA"/>
        </w:rPr>
      </w:pPr>
      <w:r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patří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k nejv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t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>m a nejstar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>m technick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m vysok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 xml:space="preserve">m </w:t>
      </w:r>
      <w:r>
        <w:rPr>
          <w:rFonts w:cs="Technika"/>
          <w:sz w:val="18"/>
          <w:szCs w:val="18"/>
          <w:shd w:val="clear" w:color="auto" w:fill="FFFFFF"/>
        </w:rPr>
        <w:t>š</w:t>
      </w:r>
      <w:r>
        <w:rPr>
          <w:sz w:val="18"/>
          <w:szCs w:val="18"/>
          <w:shd w:val="clear" w:color="auto" w:fill="FFFFFF"/>
        </w:rPr>
        <w:t>kol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m v Evrop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. Podle Metodiky 2017+ je nejlep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eskou technikou ve skupin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hodnocen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ch technick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ch vysok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 xml:space="preserve">ch </w:t>
      </w:r>
      <w:r>
        <w:rPr>
          <w:rFonts w:cs="Technika"/>
          <w:sz w:val="18"/>
          <w:szCs w:val="18"/>
          <w:shd w:val="clear" w:color="auto" w:fill="FFFFFF"/>
        </w:rPr>
        <w:t>š</w:t>
      </w:r>
      <w:r>
        <w:rPr>
          <w:sz w:val="18"/>
          <w:szCs w:val="18"/>
          <w:shd w:val="clear" w:color="auto" w:fill="FFFFFF"/>
        </w:rPr>
        <w:t>kol. V sou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asn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 xml:space="preserve"> dob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m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osm fakult (stavebn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strojn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elektrotechnick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, jadern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 xml:space="preserve"> a fyzik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ln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in</w:t>
      </w:r>
      <w:r>
        <w:rPr>
          <w:rFonts w:cs="Technika"/>
          <w:sz w:val="18"/>
          <w:szCs w:val="18"/>
          <w:shd w:val="clear" w:color="auto" w:fill="FFFFFF"/>
        </w:rPr>
        <w:t>ž</w:t>
      </w:r>
      <w:r>
        <w:rPr>
          <w:sz w:val="18"/>
          <w:szCs w:val="18"/>
          <w:shd w:val="clear" w:color="auto" w:fill="FFFFFF"/>
        </w:rPr>
        <w:t>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rsk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, architektury, dopravn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biomedic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nsk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ho in</w:t>
      </w:r>
      <w:r>
        <w:rPr>
          <w:rFonts w:cs="Technika"/>
          <w:sz w:val="18"/>
          <w:szCs w:val="18"/>
          <w:shd w:val="clear" w:color="auto" w:fill="FFFFFF"/>
        </w:rPr>
        <w:t>ž</w:t>
      </w:r>
      <w:r>
        <w:rPr>
          <w:sz w:val="18"/>
          <w:szCs w:val="18"/>
          <w:shd w:val="clear" w:color="auto" w:fill="FFFFFF"/>
        </w:rPr>
        <w:t>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rstv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informa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ch technologi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). Studuje na 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m p</w:t>
      </w:r>
      <w:r>
        <w:rPr>
          <w:rFonts w:cs="Technika"/>
          <w:sz w:val="18"/>
          <w:szCs w:val="18"/>
          <w:shd w:val="clear" w:color="auto" w:fill="FFFFFF"/>
        </w:rPr>
        <w:t>ř</w:t>
      </w:r>
      <w:r>
        <w:rPr>
          <w:sz w:val="18"/>
          <w:szCs w:val="18"/>
          <w:shd w:val="clear" w:color="auto" w:fill="FFFFFF"/>
        </w:rPr>
        <w:t>es 19 000 student</w:t>
      </w:r>
      <w:r>
        <w:rPr>
          <w:rFonts w:cs="Technika"/>
          <w:sz w:val="18"/>
          <w:szCs w:val="18"/>
          <w:shd w:val="clear" w:color="auto" w:fill="FFFFFF"/>
        </w:rPr>
        <w:t>ů</w:t>
      </w:r>
      <w:r>
        <w:rPr>
          <w:sz w:val="18"/>
          <w:szCs w:val="18"/>
          <w:shd w:val="clear" w:color="auto" w:fill="FFFFFF"/>
        </w:rPr>
        <w:t>.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akademickém roce 2024/2025 má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Praze akreditováno celkem 341 studijních programů, z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toho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145 v angli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tin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. Krom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fakult tvo</w:t>
      </w:r>
      <w:r>
        <w:rPr>
          <w:rFonts w:cs="Technika"/>
          <w:sz w:val="18"/>
          <w:szCs w:val="18"/>
          <w:shd w:val="clear" w:color="auto" w:fill="FFFFFF"/>
        </w:rPr>
        <w:t>ří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>
        <w:rPr>
          <w:sz w:val="18"/>
          <w:szCs w:val="18"/>
          <w:shd w:val="clear" w:color="auto" w:fill="FFFFFF"/>
        </w:rPr>
        <w:t>World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Rankings</w:t>
      </w:r>
      <w:proofErr w:type="spellEnd"/>
      <w:r>
        <w:rPr>
          <w:sz w:val="18"/>
          <w:szCs w:val="18"/>
          <w:shd w:val="clear" w:color="auto" w:fill="FFFFFF"/>
        </w:rPr>
        <w:t xml:space="preserve"> je ČVUT na 420. místě a na 12. pozici v regionálním hodnocení „</w:t>
      </w:r>
      <w:proofErr w:type="spellStart"/>
      <w:r>
        <w:rPr>
          <w:sz w:val="18"/>
          <w:szCs w:val="18"/>
          <w:shd w:val="clear" w:color="auto" w:fill="FFFFFF"/>
        </w:rPr>
        <w:t>Emerging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Europe</w:t>
      </w:r>
      <w:proofErr w:type="spellEnd"/>
      <w:r>
        <w:rPr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sz w:val="18"/>
          <w:szCs w:val="18"/>
          <w:shd w:val="clear" w:color="auto" w:fill="FFFFFF"/>
        </w:rPr>
        <w:t>Central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Asia</w:t>
      </w:r>
      <w:proofErr w:type="spellEnd"/>
      <w:r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>
        <w:rPr>
          <w:sz w:val="18"/>
          <w:szCs w:val="18"/>
          <w:shd w:val="clear" w:color="auto" w:fill="FFFFFF"/>
        </w:rPr>
        <w:t>Subject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Rankings</w:t>
      </w:r>
      <w:proofErr w:type="spellEnd"/>
      <w:r>
        <w:rPr>
          <w:sz w:val="18"/>
          <w:szCs w:val="18"/>
          <w:shd w:val="clear" w:color="auto" w:fill="FFFFFF"/>
        </w:rPr>
        <w:t xml:space="preserve"> 2024 pro „</w:t>
      </w:r>
      <w:proofErr w:type="spellStart"/>
      <w:r>
        <w:rPr>
          <w:sz w:val="18"/>
          <w:szCs w:val="18"/>
          <w:shd w:val="clear" w:color="auto" w:fill="FFFFFF"/>
        </w:rPr>
        <w:t>Architecture</w:t>
      </w:r>
      <w:proofErr w:type="spellEnd"/>
      <w:r>
        <w:rPr>
          <w:sz w:val="18"/>
          <w:szCs w:val="18"/>
          <w:shd w:val="clear" w:color="auto" w:fill="FFFFFF"/>
        </w:rPr>
        <w:t xml:space="preserve"> and Build </w:t>
      </w:r>
      <w:proofErr w:type="spellStart"/>
      <w:r>
        <w:rPr>
          <w:sz w:val="18"/>
          <w:szCs w:val="18"/>
          <w:shd w:val="clear" w:color="auto" w:fill="FFFFFF"/>
        </w:rPr>
        <w:t>Environments</w:t>
      </w:r>
      <w:proofErr w:type="spellEnd"/>
      <w:r>
        <w:rPr>
          <w:sz w:val="18"/>
          <w:szCs w:val="18"/>
          <w:shd w:val="clear" w:color="auto" w:fill="FFFFFF"/>
        </w:rPr>
        <w:t>“ je ČVUT 151.–200.,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 xml:space="preserve"> Civil and </w:t>
      </w:r>
      <w:proofErr w:type="spellStart"/>
      <w:r>
        <w:rPr>
          <w:sz w:val="18"/>
          <w:szCs w:val="18"/>
          <w:shd w:val="clear" w:color="auto" w:fill="FFFFFF"/>
        </w:rPr>
        <w:t>Structural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”</w:t>
      </w:r>
      <w:r>
        <w:rPr>
          <w:sz w:val="18"/>
          <w:szCs w:val="18"/>
          <w:shd w:val="clear" w:color="auto" w:fill="FFFFFF"/>
        </w:rPr>
        <w:t xml:space="preserve"> je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mezi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240. m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 xml:space="preserve">stem, v oblasti 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Mechanical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Aeronautical</w:t>
      </w:r>
      <w:proofErr w:type="spellEnd"/>
      <w:r>
        <w:rPr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sz w:val="18"/>
          <w:szCs w:val="18"/>
          <w:shd w:val="clear" w:color="auto" w:fill="FFFFFF"/>
        </w:rPr>
        <w:t>Manufacturing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“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na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250. m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st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, u 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Electrical</w:t>
      </w:r>
      <w:proofErr w:type="spellEnd"/>
      <w:r>
        <w:rPr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sz w:val="18"/>
          <w:szCs w:val="18"/>
          <w:shd w:val="clear" w:color="auto" w:fill="FFFFFF"/>
        </w:rPr>
        <w:t>Electronic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“</w:t>
      </w:r>
      <w:r>
        <w:rPr>
          <w:sz w:val="18"/>
          <w:szCs w:val="18"/>
          <w:shd w:val="clear" w:color="auto" w:fill="FFFFFF"/>
        </w:rPr>
        <w:t xml:space="preserve"> na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250. pozici. V oblasti „</w:t>
      </w:r>
      <w:proofErr w:type="spellStart"/>
      <w:r>
        <w:rPr>
          <w:sz w:val="18"/>
          <w:szCs w:val="18"/>
          <w:shd w:val="clear" w:color="auto" w:fill="FFFFFF"/>
        </w:rPr>
        <w:t>Physics</w:t>
      </w:r>
      <w:proofErr w:type="spellEnd"/>
      <w:r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>
        <w:rPr>
          <w:sz w:val="18"/>
          <w:szCs w:val="18"/>
          <w:shd w:val="clear" w:color="auto" w:fill="FFFFFF"/>
        </w:rPr>
        <w:t>Sciences</w:t>
      </w:r>
      <w:proofErr w:type="spellEnd"/>
      <w:r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>
        <w:rPr>
          <w:sz w:val="18"/>
          <w:szCs w:val="18"/>
          <w:shd w:val="clear" w:color="auto" w:fill="FFFFFF"/>
        </w:rPr>
        <w:t>Computer</w:t>
      </w:r>
      <w:proofErr w:type="spellEnd"/>
      <w:r>
        <w:rPr>
          <w:sz w:val="18"/>
          <w:szCs w:val="18"/>
          <w:shd w:val="clear" w:color="auto" w:fill="FFFFFF"/>
        </w:rPr>
        <w:t xml:space="preserve"> Science and </w:t>
      </w:r>
      <w:proofErr w:type="spellStart"/>
      <w:r>
        <w:rPr>
          <w:sz w:val="18"/>
          <w:szCs w:val="18"/>
          <w:shd w:val="clear" w:color="auto" w:fill="FFFFFF"/>
        </w:rPr>
        <w:t>Information</w:t>
      </w:r>
      <w:proofErr w:type="spellEnd"/>
      <w:r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>
        <w:rPr>
          <w:sz w:val="18"/>
          <w:szCs w:val="18"/>
          <w:shd w:val="clear" w:color="auto" w:fill="FFFFFF"/>
        </w:rPr>
        <w:t>Material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Sciences</w:t>
      </w:r>
      <w:proofErr w:type="spellEnd"/>
      <w:r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>
        <w:rPr>
          <w:sz w:val="18"/>
          <w:szCs w:val="18"/>
          <w:shd w:val="clear" w:color="auto" w:fill="FFFFFF"/>
        </w:rPr>
        <w:t>Mathematics</w:t>
      </w:r>
      <w:proofErr w:type="spellEnd"/>
      <w:r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>
        <w:rPr>
          <w:sz w:val="18"/>
          <w:szCs w:val="18"/>
          <w:shd w:val="clear" w:color="auto" w:fill="FFFFFF"/>
        </w:rPr>
        <w:t>EuroTeQ</w:t>
      </w:r>
      <w:proofErr w:type="spellEnd"/>
      <w:r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sz w:val="18"/>
          <w:szCs w:val="18"/>
          <w:shd w:val="clear" w:color="auto" w:fill="FFFFFF"/>
        </w:rPr>
        <w:t>EuroTeQ</w:t>
      </w:r>
      <w:proofErr w:type="spellEnd"/>
      <w:r>
        <w:rPr>
          <w:sz w:val="18"/>
          <w:szCs w:val="18"/>
          <w:shd w:val="clear" w:color="auto" w:fill="FFFFFF"/>
        </w:rPr>
        <w:t xml:space="preserve"> jsou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Munich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Denmark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Eindhoven, </w:t>
      </w:r>
      <w:proofErr w:type="spellStart"/>
      <w:r>
        <w:rPr>
          <w:sz w:val="18"/>
          <w:szCs w:val="18"/>
          <w:shd w:val="clear" w:color="auto" w:fill="FFFFFF"/>
        </w:rPr>
        <w:t>École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Polytechnique</w:t>
      </w:r>
      <w:proofErr w:type="spellEnd"/>
      <w:r>
        <w:rPr>
          <w:sz w:val="18"/>
          <w:szCs w:val="18"/>
          <w:shd w:val="clear" w:color="auto" w:fill="FFFFFF"/>
        </w:rPr>
        <w:t xml:space="preserve"> – L</w:t>
      </w:r>
      <w:r>
        <w:rPr>
          <w:rFonts w:ascii="Cambria" w:hAnsi="Cambria" w:cs="Cambria"/>
          <w:sz w:val="18"/>
          <w:szCs w:val="18"/>
          <w:shd w:val="clear" w:color="auto" w:fill="FFFFFF"/>
        </w:rPr>
        <w:t>´</w:t>
      </w:r>
      <w:r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Technology,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cole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polytechnique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f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d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rale</w:t>
      </w:r>
      <w:proofErr w:type="spellEnd"/>
      <w:r>
        <w:rPr>
          <w:sz w:val="18"/>
          <w:szCs w:val="18"/>
          <w:shd w:val="clear" w:color="auto" w:fill="FFFFFF"/>
        </w:rPr>
        <w:t xml:space="preserve"> de Lausanne a </w:t>
      </w:r>
      <w:proofErr w:type="spellStart"/>
      <w:r>
        <w:rPr>
          <w:sz w:val="18"/>
          <w:szCs w:val="18"/>
          <w:shd w:val="clear" w:color="auto" w:fill="FFFFFF"/>
        </w:rPr>
        <w:t>Technion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Israel</w:t>
      </w:r>
      <w:proofErr w:type="spellEnd"/>
      <w:r>
        <w:rPr>
          <w:sz w:val="18"/>
          <w:szCs w:val="18"/>
          <w:shd w:val="clear" w:color="auto" w:fill="FFFFFF"/>
        </w:rPr>
        <w:t xml:space="preserve"> Institute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Technology. Roku 2023 byla aliance roz</w:t>
      </w:r>
      <w:r>
        <w:rPr>
          <w:rFonts w:cs="Technika"/>
          <w:sz w:val="18"/>
          <w:szCs w:val="18"/>
          <w:shd w:val="clear" w:color="auto" w:fill="FFFFFF"/>
        </w:rPr>
        <w:t>šíř</w:t>
      </w:r>
      <w:r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>
        <w:rPr>
          <w:sz w:val="18"/>
          <w:szCs w:val="18"/>
          <w:shd w:val="clear" w:color="auto" w:fill="FFFFFF"/>
        </w:rPr>
        <w:t>School</w:t>
      </w:r>
      <w:proofErr w:type="spellEnd"/>
      <w:r>
        <w:rPr>
          <w:sz w:val="18"/>
          <w:szCs w:val="18"/>
          <w:shd w:val="clear" w:color="auto" w:fill="FFFFFF"/>
        </w:rPr>
        <w:t xml:space="preserve"> (University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Navarra). V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ce na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>
        <w:rPr>
          <w:sz w:val="18"/>
          <w:szCs w:val="18"/>
          <w:shd w:val="clear" w:color="auto" w:fill="FFFFFF"/>
        </w:rPr>
        <w:t>.</w:t>
      </w:r>
    </w:p>
    <w:p w14:paraId="5C99DDCC" w14:textId="77777777" w:rsidR="00E52BBE" w:rsidRDefault="00E52BBE" w:rsidP="00E52BBE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5C31B719" w14:textId="100F45B3" w:rsidR="00F23272" w:rsidRDefault="00F23272" w:rsidP="00D63040">
      <w:pPr>
        <w:pStyle w:val="Zapati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Masarykův ústav vyšších studií </w:t>
      </w:r>
      <w:r w:rsidR="00D63040" w:rsidRPr="0055192F">
        <w:rPr>
          <w:b/>
          <w:color w:val="000000" w:themeColor="text1"/>
        </w:rPr>
        <w:t>ČVUT v Praze</w:t>
      </w:r>
      <w:r w:rsidR="00D63040" w:rsidRPr="0055192F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 vysokoškolský ústav Českého vysokého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učení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technického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Praze,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který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poskytuje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vysokoškolské vzdělání v akreditovaných prezenčních 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>kombinovaných bakalářských a magisterských studijních programech ekonomického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a</w:t>
      </w:r>
      <w:r w:rsidR="00037244"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 xml:space="preserve">pedagogického zaměření. </w:t>
      </w:r>
      <w:r w:rsidR="00037244">
        <w:rPr>
          <w:color w:val="000000" w:themeColor="text1"/>
        </w:rPr>
        <w:t xml:space="preserve">Masarykův ústav vyšších studií má </w:t>
      </w:r>
      <w:r w:rsidRPr="00F23272">
        <w:rPr>
          <w:color w:val="000000" w:themeColor="text1"/>
        </w:rPr>
        <w:t>špičkový akademický tým,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jehož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členy jsou osobnosti známé z</w:t>
      </w:r>
      <w:r w:rsidR="00037244">
        <w:rPr>
          <w:rFonts w:ascii="Cambria" w:hAnsi="Cambria" w:cs="Cambria"/>
          <w:color w:val="000000" w:themeColor="text1"/>
        </w:rPr>
        <w:t> </w:t>
      </w:r>
      <w:r w:rsidRPr="00F23272">
        <w:rPr>
          <w:color w:val="000000" w:themeColor="text1"/>
        </w:rPr>
        <w:t>akademického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prostředí, kteří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mají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také bohaté životní zkušenosti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s řízením významných firem, inovačních projektů i s působením v mediální sféře.</w:t>
      </w:r>
    </w:p>
    <w:p w14:paraId="32624C24" w14:textId="5B60A832" w:rsidR="00037244" w:rsidRPr="0055192F" w:rsidRDefault="00037244" w:rsidP="00037244">
      <w:pPr>
        <w:pStyle w:val="Zapati"/>
        <w:jc w:val="both"/>
      </w:pPr>
      <w:r w:rsidRPr="0055192F">
        <w:t xml:space="preserve">Více informací najdete na </w:t>
      </w:r>
      <w:hyperlink r:id="rId13" w:history="1">
        <w:r>
          <w:rPr>
            <w:rStyle w:val="Hypertextovodkaz"/>
          </w:rPr>
          <w:t>www.muvs.cvut.cz/</w:t>
        </w:r>
      </w:hyperlink>
      <w:r w:rsidRPr="0055192F">
        <w:t>.</w:t>
      </w:r>
    </w:p>
    <w:p w14:paraId="6DE12F4B" w14:textId="72E03E76" w:rsidR="00A067E1" w:rsidRDefault="00A067E1" w:rsidP="00A430CA">
      <w:pPr>
        <w:spacing w:line="240" w:lineRule="auto"/>
        <w:jc w:val="both"/>
        <w:rPr>
          <w:color w:val="FF0000"/>
          <w:sz w:val="18"/>
          <w:szCs w:val="18"/>
          <w:lang w:val="en-US"/>
        </w:rPr>
      </w:pPr>
    </w:p>
    <w:sectPr w:rsidR="00A067E1" w:rsidSect="007A754F">
      <w:headerReference w:type="default" r:id="rId14"/>
      <w:headerReference w:type="first" r:id="rId15"/>
      <w:footerReference w:type="first" r:id="rId16"/>
      <w:pgSz w:w="11906" w:h="16838"/>
      <w:pgMar w:top="3407" w:right="851" w:bottom="567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ED43" w14:textId="77777777" w:rsidR="00FD2116" w:rsidRDefault="00FD2116" w:rsidP="003829EA">
      <w:pPr>
        <w:spacing w:line="240" w:lineRule="auto"/>
      </w:pPr>
      <w:r>
        <w:separator/>
      </w:r>
    </w:p>
  </w:endnote>
  <w:endnote w:type="continuationSeparator" w:id="0">
    <w:p w14:paraId="026376DE" w14:textId="77777777" w:rsidR="00FD2116" w:rsidRDefault="00FD211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EA5F43F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B015" w14:textId="77777777" w:rsidR="00FD2116" w:rsidRDefault="00FD2116" w:rsidP="003829EA">
      <w:pPr>
        <w:spacing w:line="240" w:lineRule="auto"/>
      </w:pPr>
      <w:r>
        <w:separator/>
      </w:r>
    </w:p>
  </w:footnote>
  <w:footnote w:type="continuationSeparator" w:id="0">
    <w:p w14:paraId="4A8A6A3E" w14:textId="77777777" w:rsidR="00FD2116" w:rsidRDefault="00FD211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71255A9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203D1"/>
    <w:rsid w:val="000241EE"/>
    <w:rsid w:val="0002589E"/>
    <w:rsid w:val="000279B6"/>
    <w:rsid w:val="00037244"/>
    <w:rsid w:val="00037CA3"/>
    <w:rsid w:val="000403B8"/>
    <w:rsid w:val="000421D9"/>
    <w:rsid w:val="00045A8B"/>
    <w:rsid w:val="00051265"/>
    <w:rsid w:val="000517E5"/>
    <w:rsid w:val="000633F2"/>
    <w:rsid w:val="00064511"/>
    <w:rsid w:val="00071B94"/>
    <w:rsid w:val="0007222F"/>
    <w:rsid w:val="000726B8"/>
    <w:rsid w:val="00080867"/>
    <w:rsid w:val="00080A5C"/>
    <w:rsid w:val="0008337F"/>
    <w:rsid w:val="00085CCE"/>
    <w:rsid w:val="00090A1E"/>
    <w:rsid w:val="00092794"/>
    <w:rsid w:val="0009492D"/>
    <w:rsid w:val="0009550A"/>
    <w:rsid w:val="000A086C"/>
    <w:rsid w:val="000A4D7F"/>
    <w:rsid w:val="000A6F62"/>
    <w:rsid w:val="000B08F8"/>
    <w:rsid w:val="000C7203"/>
    <w:rsid w:val="000D5D47"/>
    <w:rsid w:val="000D7C1C"/>
    <w:rsid w:val="000F3D93"/>
    <w:rsid w:val="000F436A"/>
    <w:rsid w:val="000F72F3"/>
    <w:rsid w:val="001017F7"/>
    <w:rsid w:val="001079D8"/>
    <w:rsid w:val="001143EB"/>
    <w:rsid w:val="00114B39"/>
    <w:rsid w:val="001173CA"/>
    <w:rsid w:val="00121FEC"/>
    <w:rsid w:val="00124BB6"/>
    <w:rsid w:val="00125CDB"/>
    <w:rsid w:val="00127864"/>
    <w:rsid w:val="00132390"/>
    <w:rsid w:val="001442C5"/>
    <w:rsid w:val="001458F5"/>
    <w:rsid w:val="00146ABD"/>
    <w:rsid w:val="0014704C"/>
    <w:rsid w:val="00152C1D"/>
    <w:rsid w:val="00160409"/>
    <w:rsid w:val="00160A6B"/>
    <w:rsid w:val="0016153C"/>
    <w:rsid w:val="00164424"/>
    <w:rsid w:val="001766B4"/>
    <w:rsid w:val="00180787"/>
    <w:rsid w:val="0018138B"/>
    <w:rsid w:val="001816B5"/>
    <w:rsid w:val="00181B29"/>
    <w:rsid w:val="00186B27"/>
    <w:rsid w:val="00186EEB"/>
    <w:rsid w:val="001871BC"/>
    <w:rsid w:val="001A1086"/>
    <w:rsid w:val="001A2A23"/>
    <w:rsid w:val="001A3444"/>
    <w:rsid w:val="001B1133"/>
    <w:rsid w:val="001B57EE"/>
    <w:rsid w:val="001C3697"/>
    <w:rsid w:val="001C7E6B"/>
    <w:rsid w:val="001D31CB"/>
    <w:rsid w:val="001D5EA7"/>
    <w:rsid w:val="001E1360"/>
    <w:rsid w:val="001E3831"/>
    <w:rsid w:val="001E49BE"/>
    <w:rsid w:val="001F5234"/>
    <w:rsid w:val="001F6456"/>
    <w:rsid w:val="00203F76"/>
    <w:rsid w:val="00207A67"/>
    <w:rsid w:val="002105E9"/>
    <w:rsid w:val="002109C7"/>
    <w:rsid w:val="002160D2"/>
    <w:rsid w:val="002176AC"/>
    <w:rsid w:val="00223732"/>
    <w:rsid w:val="00237423"/>
    <w:rsid w:val="00241FB9"/>
    <w:rsid w:val="00242B16"/>
    <w:rsid w:val="0024679F"/>
    <w:rsid w:val="002478E2"/>
    <w:rsid w:val="002553A2"/>
    <w:rsid w:val="00256D35"/>
    <w:rsid w:val="002618AB"/>
    <w:rsid w:val="002637A4"/>
    <w:rsid w:val="002640F1"/>
    <w:rsid w:val="0026737A"/>
    <w:rsid w:val="0026746D"/>
    <w:rsid w:val="002707EA"/>
    <w:rsid w:val="00274D01"/>
    <w:rsid w:val="002759C3"/>
    <w:rsid w:val="002819B9"/>
    <w:rsid w:val="0028591C"/>
    <w:rsid w:val="00286717"/>
    <w:rsid w:val="00286E6A"/>
    <w:rsid w:val="00291D39"/>
    <w:rsid w:val="002925FF"/>
    <w:rsid w:val="00296D15"/>
    <w:rsid w:val="00297CB8"/>
    <w:rsid w:val="002A4B9F"/>
    <w:rsid w:val="002B5794"/>
    <w:rsid w:val="002C710E"/>
    <w:rsid w:val="002E5AEA"/>
    <w:rsid w:val="002F018C"/>
    <w:rsid w:val="002F4927"/>
    <w:rsid w:val="002F541A"/>
    <w:rsid w:val="002F67D5"/>
    <w:rsid w:val="003010E1"/>
    <w:rsid w:val="00301D63"/>
    <w:rsid w:val="00303659"/>
    <w:rsid w:val="00306AEF"/>
    <w:rsid w:val="00307D10"/>
    <w:rsid w:val="003107E6"/>
    <w:rsid w:val="00323A44"/>
    <w:rsid w:val="0032792E"/>
    <w:rsid w:val="003279A4"/>
    <w:rsid w:val="003357EF"/>
    <w:rsid w:val="003429B8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1CEC"/>
    <w:rsid w:val="0037238E"/>
    <w:rsid w:val="00380656"/>
    <w:rsid w:val="003829EA"/>
    <w:rsid w:val="00386C6F"/>
    <w:rsid w:val="00387CAD"/>
    <w:rsid w:val="00397371"/>
    <w:rsid w:val="003A0150"/>
    <w:rsid w:val="003A768B"/>
    <w:rsid w:val="003C3820"/>
    <w:rsid w:val="003C52B1"/>
    <w:rsid w:val="003D04D9"/>
    <w:rsid w:val="003D4289"/>
    <w:rsid w:val="003E4EC9"/>
    <w:rsid w:val="003F11D5"/>
    <w:rsid w:val="003F16B7"/>
    <w:rsid w:val="00400F34"/>
    <w:rsid w:val="00406215"/>
    <w:rsid w:val="00407E52"/>
    <w:rsid w:val="00420F6D"/>
    <w:rsid w:val="00427F23"/>
    <w:rsid w:val="00430D1C"/>
    <w:rsid w:val="004328BB"/>
    <w:rsid w:val="004345FB"/>
    <w:rsid w:val="0043746C"/>
    <w:rsid w:val="00441CAD"/>
    <w:rsid w:val="00443204"/>
    <w:rsid w:val="00446F7D"/>
    <w:rsid w:val="0045242F"/>
    <w:rsid w:val="004529D4"/>
    <w:rsid w:val="00456C94"/>
    <w:rsid w:val="00464D19"/>
    <w:rsid w:val="0047137B"/>
    <w:rsid w:val="004749A8"/>
    <w:rsid w:val="00475F45"/>
    <w:rsid w:val="004764D3"/>
    <w:rsid w:val="004800DB"/>
    <w:rsid w:val="00487196"/>
    <w:rsid w:val="00487551"/>
    <w:rsid w:val="00487AF1"/>
    <w:rsid w:val="00496860"/>
    <w:rsid w:val="0049794D"/>
    <w:rsid w:val="004A4750"/>
    <w:rsid w:val="004B5406"/>
    <w:rsid w:val="004B61BC"/>
    <w:rsid w:val="004B6394"/>
    <w:rsid w:val="004C32DD"/>
    <w:rsid w:val="004C34B5"/>
    <w:rsid w:val="004C5405"/>
    <w:rsid w:val="004C5D7B"/>
    <w:rsid w:val="004D7F26"/>
    <w:rsid w:val="004E4774"/>
    <w:rsid w:val="004E649D"/>
    <w:rsid w:val="004F3F6C"/>
    <w:rsid w:val="00506CFF"/>
    <w:rsid w:val="00512DE3"/>
    <w:rsid w:val="005163DC"/>
    <w:rsid w:val="0051641F"/>
    <w:rsid w:val="00520F33"/>
    <w:rsid w:val="00521253"/>
    <w:rsid w:val="00527D8C"/>
    <w:rsid w:val="00530278"/>
    <w:rsid w:val="00533E17"/>
    <w:rsid w:val="0054042E"/>
    <w:rsid w:val="0055192F"/>
    <w:rsid w:val="0056284F"/>
    <w:rsid w:val="00565DF6"/>
    <w:rsid w:val="00566042"/>
    <w:rsid w:val="00573666"/>
    <w:rsid w:val="00574099"/>
    <w:rsid w:val="00584D80"/>
    <w:rsid w:val="00591334"/>
    <w:rsid w:val="005920A0"/>
    <w:rsid w:val="005A2E49"/>
    <w:rsid w:val="005A2EC0"/>
    <w:rsid w:val="005A7F91"/>
    <w:rsid w:val="005B29A5"/>
    <w:rsid w:val="005B780D"/>
    <w:rsid w:val="005B7E27"/>
    <w:rsid w:val="005C148E"/>
    <w:rsid w:val="005D2179"/>
    <w:rsid w:val="005D6019"/>
    <w:rsid w:val="005E574D"/>
    <w:rsid w:val="005E759D"/>
    <w:rsid w:val="005F0180"/>
    <w:rsid w:val="005F0396"/>
    <w:rsid w:val="005F7712"/>
    <w:rsid w:val="00601B9C"/>
    <w:rsid w:val="00613C12"/>
    <w:rsid w:val="006151BB"/>
    <w:rsid w:val="006246CE"/>
    <w:rsid w:val="006257D7"/>
    <w:rsid w:val="00655AC1"/>
    <w:rsid w:val="006603E9"/>
    <w:rsid w:val="00661F62"/>
    <w:rsid w:val="006648EF"/>
    <w:rsid w:val="00667892"/>
    <w:rsid w:val="00674493"/>
    <w:rsid w:val="00680A57"/>
    <w:rsid w:val="006847F6"/>
    <w:rsid w:val="00696317"/>
    <w:rsid w:val="006A448F"/>
    <w:rsid w:val="006B471E"/>
    <w:rsid w:val="006B599E"/>
    <w:rsid w:val="006B6CDA"/>
    <w:rsid w:val="006B6FE2"/>
    <w:rsid w:val="006C4C62"/>
    <w:rsid w:val="006E1F9C"/>
    <w:rsid w:val="006E689D"/>
    <w:rsid w:val="006F11DA"/>
    <w:rsid w:val="006F52AA"/>
    <w:rsid w:val="006F6ECA"/>
    <w:rsid w:val="006F7012"/>
    <w:rsid w:val="0070121D"/>
    <w:rsid w:val="00710091"/>
    <w:rsid w:val="00713EE4"/>
    <w:rsid w:val="007149BD"/>
    <w:rsid w:val="00714B90"/>
    <w:rsid w:val="0071577B"/>
    <w:rsid w:val="007163DE"/>
    <w:rsid w:val="0072572D"/>
    <w:rsid w:val="007334A1"/>
    <w:rsid w:val="007344DD"/>
    <w:rsid w:val="007431D0"/>
    <w:rsid w:val="00743CC8"/>
    <w:rsid w:val="00746B8B"/>
    <w:rsid w:val="00747EBE"/>
    <w:rsid w:val="00751B28"/>
    <w:rsid w:val="00752C3F"/>
    <w:rsid w:val="00753A27"/>
    <w:rsid w:val="00754656"/>
    <w:rsid w:val="00761F35"/>
    <w:rsid w:val="0076398B"/>
    <w:rsid w:val="0076597A"/>
    <w:rsid w:val="00766A6F"/>
    <w:rsid w:val="00774AEF"/>
    <w:rsid w:val="00775641"/>
    <w:rsid w:val="007824EE"/>
    <w:rsid w:val="007832D0"/>
    <w:rsid w:val="00784A8F"/>
    <w:rsid w:val="00786DC1"/>
    <w:rsid w:val="00790AFA"/>
    <w:rsid w:val="007964F5"/>
    <w:rsid w:val="007A5B57"/>
    <w:rsid w:val="007A754F"/>
    <w:rsid w:val="007B0414"/>
    <w:rsid w:val="007B06F9"/>
    <w:rsid w:val="007B2E6E"/>
    <w:rsid w:val="007B4876"/>
    <w:rsid w:val="007B5807"/>
    <w:rsid w:val="007C457F"/>
    <w:rsid w:val="007D2D1C"/>
    <w:rsid w:val="007D4E04"/>
    <w:rsid w:val="007D4EE9"/>
    <w:rsid w:val="007D57DB"/>
    <w:rsid w:val="007D5B59"/>
    <w:rsid w:val="007D6E7C"/>
    <w:rsid w:val="007E15C9"/>
    <w:rsid w:val="007E656A"/>
    <w:rsid w:val="00801CB3"/>
    <w:rsid w:val="008065C4"/>
    <w:rsid w:val="00807F1E"/>
    <w:rsid w:val="00812E9B"/>
    <w:rsid w:val="008176A2"/>
    <w:rsid w:val="00817AB9"/>
    <w:rsid w:val="00832387"/>
    <w:rsid w:val="00850ECD"/>
    <w:rsid w:val="00864945"/>
    <w:rsid w:val="0088161C"/>
    <w:rsid w:val="008828B5"/>
    <w:rsid w:val="0088597D"/>
    <w:rsid w:val="00885EC2"/>
    <w:rsid w:val="0089204C"/>
    <w:rsid w:val="0089260C"/>
    <w:rsid w:val="008926E8"/>
    <w:rsid w:val="008938F4"/>
    <w:rsid w:val="008940E0"/>
    <w:rsid w:val="008A47FD"/>
    <w:rsid w:val="008B0A04"/>
    <w:rsid w:val="008C5374"/>
    <w:rsid w:val="008D0849"/>
    <w:rsid w:val="008D4B2A"/>
    <w:rsid w:val="008E6DDF"/>
    <w:rsid w:val="008E710C"/>
    <w:rsid w:val="008E754C"/>
    <w:rsid w:val="008F332A"/>
    <w:rsid w:val="00901775"/>
    <w:rsid w:val="009116DB"/>
    <w:rsid w:val="00912154"/>
    <w:rsid w:val="0092330B"/>
    <w:rsid w:val="009234B1"/>
    <w:rsid w:val="00925272"/>
    <w:rsid w:val="00941856"/>
    <w:rsid w:val="0094353B"/>
    <w:rsid w:val="009502FE"/>
    <w:rsid w:val="009566D3"/>
    <w:rsid w:val="00962DA5"/>
    <w:rsid w:val="00966F69"/>
    <w:rsid w:val="00976657"/>
    <w:rsid w:val="00981C3F"/>
    <w:rsid w:val="0099151C"/>
    <w:rsid w:val="00997E73"/>
    <w:rsid w:val="009A04F0"/>
    <w:rsid w:val="009B3F71"/>
    <w:rsid w:val="009C097C"/>
    <w:rsid w:val="009C3103"/>
    <w:rsid w:val="009C760E"/>
    <w:rsid w:val="009D4817"/>
    <w:rsid w:val="009D5CE0"/>
    <w:rsid w:val="009D6551"/>
    <w:rsid w:val="009E178A"/>
    <w:rsid w:val="009E5CBD"/>
    <w:rsid w:val="009E5DAF"/>
    <w:rsid w:val="009F3182"/>
    <w:rsid w:val="009F6BE8"/>
    <w:rsid w:val="00A016F3"/>
    <w:rsid w:val="00A01B45"/>
    <w:rsid w:val="00A059A7"/>
    <w:rsid w:val="00A067E1"/>
    <w:rsid w:val="00A07DA2"/>
    <w:rsid w:val="00A11A80"/>
    <w:rsid w:val="00A123D8"/>
    <w:rsid w:val="00A12DFD"/>
    <w:rsid w:val="00A1314E"/>
    <w:rsid w:val="00A13372"/>
    <w:rsid w:val="00A141E8"/>
    <w:rsid w:val="00A15B4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33CE"/>
    <w:rsid w:val="00A710D0"/>
    <w:rsid w:val="00A75551"/>
    <w:rsid w:val="00A75A8C"/>
    <w:rsid w:val="00A77353"/>
    <w:rsid w:val="00A8087B"/>
    <w:rsid w:val="00A83188"/>
    <w:rsid w:val="00A859BF"/>
    <w:rsid w:val="00A87109"/>
    <w:rsid w:val="00A93218"/>
    <w:rsid w:val="00AA02F8"/>
    <w:rsid w:val="00AA0ADC"/>
    <w:rsid w:val="00AA6D2E"/>
    <w:rsid w:val="00AB6EE2"/>
    <w:rsid w:val="00AB7B16"/>
    <w:rsid w:val="00AB7F29"/>
    <w:rsid w:val="00AC6D20"/>
    <w:rsid w:val="00AD0CD9"/>
    <w:rsid w:val="00AD6948"/>
    <w:rsid w:val="00AE0870"/>
    <w:rsid w:val="00AE1266"/>
    <w:rsid w:val="00B1378B"/>
    <w:rsid w:val="00B22D75"/>
    <w:rsid w:val="00B26761"/>
    <w:rsid w:val="00B323CB"/>
    <w:rsid w:val="00B35479"/>
    <w:rsid w:val="00B44F90"/>
    <w:rsid w:val="00B515CF"/>
    <w:rsid w:val="00B65C8A"/>
    <w:rsid w:val="00B67304"/>
    <w:rsid w:val="00B678D6"/>
    <w:rsid w:val="00B71B05"/>
    <w:rsid w:val="00B839AF"/>
    <w:rsid w:val="00B90C5E"/>
    <w:rsid w:val="00B953D8"/>
    <w:rsid w:val="00B97121"/>
    <w:rsid w:val="00B97C63"/>
    <w:rsid w:val="00BA0297"/>
    <w:rsid w:val="00BB1E02"/>
    <w:rsid w:val="00BB34A7"/>
    <w:rsid w:val="00BC0E55"/>
    <w:rsid w:val="00BC1D28"/>
    <w:rsid w:val="00BC4988"/>
    <w:rsid w:val="00BC4E7A"/>
    <w:rsid w:val="00BD26C0"/>
    <w:rsid w:val="00BD397F"/>
    <w:rsid w:val="00BD41CF"/>
    <w:rsid w:val="00BD4649"/>
    <w:rsid w:val="00BE084E"/>
    <w:rsid w:val="00BE3A4A"/>
    <w:rsid w:val="00BE3DFC"/>
    <w:rsid w:val="00BF07F6"/>
    <w:rsid w:val="00BF1D2C"/>
    <w:rsid w:val="00BF2FF5"/>
    <w:rsid w:val="00BF4F01"/>
    <w:rsid w:val="00BF71C0"/>
    <w:rsid w:val="00BF7F31"/>
    <w:rsid w:val="00C01135"/>
    <w:rsid w:val="00C10B66"/>
    <w:rsid w:val="00C10E19"/>
    <w:rsid w:val="00C13594"/>
    <w:rsid w:val="00C139F4"/>
    <w:rsid w:val="00C22E50"/>
    <w:rsid w:val="00C25156"/>
    <w:rsid w:val="00C25AC2"/>
    <w:rsid w:val="00C267C9"/>
    <w:rsid w:val="00C400F0"/>
    <w:rsid w:val="00C44611"/>
    <w:rsid w:val="00C508C1"/>
    <w:rsid w:val="00C52F0B"/>
    <w:rsid w:val="00C54FE8"/>
    <w:rsid w:val="00C614F8"/>
    <w:rsid w:val="00C64280"/>
    <w:rsid w:val="00C644AD"/>
    <w:rsid w:val="00C722BD"/>
    <w:rsid w:val="00C80FF1"/>
    <w:rsid w:val="00C842FC"/>
    <w:rsid w:val="00C93904"/>
    <w:rsid w:val="00C9407B"/>
    <w:rsid w:val="00C94398"/>
    <w:rsid w:val="00C97418"/>
    <w:rsid w:val="00CA00B9"/>
    <w:rsid w:val="00CA088A"/>
    <w:rsid w:val="00CA0B59"/>
    <w:rsid w:val="00CA0BEF"/>
    <w:rsid w:val="00CA1B93"/>
    <w:rsid w:val="00CA2FDC"/>
    <w:rsid w:val="00CA329F"/>
    <w:rsid w:val="00CA5C03"/>
    <w:rsid w:val="00CC1321"/>
    <w:rsid w:val="00CC2242"/>
    <w:rsid w:val="00CD244B"/>
    <w:rsid w:val="00CD5575"/>
    <w:rsid w:val="00CE63C6"/>
    <w:rsid w:val="00CE6DA7"/>
    <w:rsid w:val="00CF1B31"/>
    <w:rsid w:val="00CF3BEF"/>
    <w:rsid w:val="00CF5F9F"/>
    <w:rsid w:val="00D15B19"/>
    <w:rsid w:val="00D2317C"/>
    <w:rsid w:val="00D23D06"/>
    <w:rsid w:val="00D24983"/>
    <w:rsid w:val="00D261ED"/>
    <w:rsid w:val="00D266F8"/>
    <w:rsid w:val="00D300FD"/>
    <w:rsid w:val="00D3303A"/>
    <w:rsid w:val="00D33E16"/>
    <w:rsid w:val="00D52E0D"/>
    <w:rsid w:val="00D54991"/>
    <w:rsid w:val="00D5683F"/>
    <w:rsid w:val="00D63040"/>
    <w:rsid w:val="00D66EEF"/>
    <w:rsid w:val="00D75093"/>
    <w:rsid w:val="00D76794"/>
    <w:rsid w:val="00D778E3"/>
    <w:rsid w:val="00D77D86"/>
    <w:rsid w:val="00D80E70"/>
    <w:rsid w:val="00D81B9E"/>
    <w:rsid w:val="00D81BB6"/>
    <w:rsid w:val="00D82ABB"/>
    <w:rsid w:val="00D83475"/>
    <w:rsid w:val="00D86754"/>
    <w:rsid w:val="00D86F52"/>
    <w:rsid w:val="00D97EF4"/>
    <w:rsid w:val="00DA704A"/>
    <w:rsid w:val="00DB5666"/>
    <w:rsid w:val="00DC3A4F"/>
    <w:rsid w:val="00DC662C"/>
    <w:rsid w:val="00DD3C18"/>
    <w:rsid w:val="00DD5B5F"/>
    <w:rsid w:val="00DE02FE"/>
    <w:rsid w:val="00DE4FD8"/>
    <w:rsid w:val="00DE51FB"/>
    <w:rsid w:val="00DE6626"/>
    <w:rsid w:val="00DF2AC1"/>
    <w:rsid w:val="00DF47D3"/>
    <w:rsid w:val="00DF52BA"/>
    <w:rsid w:val="00E0357B"/>
    <w:rsid w:val="00E05720"/>
    <w:rsid w:val="00E0659A"/>
    <w:rsid w:val="00E16874"/>
    <w:rsid w:val="00E316B3"/>
    <w:rsid w:val="00E31A05"/>
    <w:rsid w:val="00E40EF2"/>
    <w:rsid w:val="00E421B1"/>
    <w:rsid w:val="00E4689C"/>
    <w:rsid w:val="00E52BBE"/>
    <w:rsid w:val="00E568A3"/>
    <w:rsid w:val="00E65337"/>
    <w:rsid w:val="00E66774"/>
    <w:rsid w:val="00E667CD"/>
    <w:rsid w:val="00E724F6"/>
    <w:rsid w:val="00E73DFC"/>
    <w:rsid w:val="00E7485F"/>
    <w:rsid w:val="00E75287"/>
    <w:rsid w:val="00E8109D"/>
    <w:rsid w:val="00E83C30"/>
    <w:rsid w:val="00E83E4F"/>
    <w:rsid w:val="00E86899"/>
    <w:rsid w:val="00E9605C"/>
    <w:rsid w:val="00E96118"/>
    <w:rsid w:val="00E97EBF"/>
    <w:rsid w:val="00EA3B2D"/>
    <w:rsid w:val="00EA6F87"/>
    <w:rsid w:val="00EA6FAC"/>
    <w:rsid w:val="00EA73F5"/>
    <w:rsid w:val="00EB2504"/>
    <w:rsid w:val="00EB3BEF"/>
    <w:rsid w:val="00EB4A18"/>
    <w:rsid w:val="00EB66DF"/>
    <w:rsid w:val="00EC11B3"/>
    <w:rsid w:val="00EC40D7"/>
    <w:rsid w:val="00EC6985"/>
    <w:rsid w:val="00EC7479"/>
    <w:rsid w:val="00ED0C9D"/>
    <w:rsid w:val="00ED1DD1"/>
    <w:rsid w:val="00ED64DC"/>
    <w:rsid w:val="00EE0043"/>
    <w:rsid w:val="00EE28D8"/>
    <w:rsid w:val="00EE5DA1"/>
    <w:rsid w:val="00EE65D6"/>
    <w:rsid w:val="00F03B5D"/>
    <w:rsid w:val="00F03B9C"/>
    <w:rsid w:val="00F03EBB"/>
    <w:rsid w:val="00F11813"/>
    <w:rsid w:val="00F11829"/>
    <w:rsid w:val="00F13553"/>
    <w:rsid w:val="00F154F8"/>
    <w:rsid w:val="00F23272"/>
    <w:rsid w:val="00F2336D"/>
    <w:rsid w:val="00F23D38"/>
    <w:rsid w:val="00F307A5"/>
    <w:rsid w:val="00F30FB1"/>
    <w:rsid w:val="00F31300"/>
    <w:rsid w:val="00F36D80"/>
    <w:rsid w:val="00F418E9"/>
    <w:rsid w:val="00F44BF3"/>
    <w:rsid w:val="00F6494F"/>
    <w:rsid w:val="00F678AC"/>
    <w:rsid w:val="00F70200"/>
    <w:rsid w:val="00F71503"/>
    <w:rsid w:val="00F72512"/>
    <w:rsid w:val="00F77C86"/>
    <w:rsid w:val="00F81BDF"/>
    <w:rsid w:val="00F83EE9"/>
    <w:rsid w:val="00F92545"/>
    <w:rsid w:val="00F94203"/>
    <w:rsid w:val="00F95E11"/>
    <w:rsid w:val="00F961EE"/>
    <w:rsid w:val="00FA1375"/>
    <w:rsid w:val="00FA6C90"/>
    <w:rsid w:val="00FA7904"/>
    <w:rsid w:val="00FA7F85"/>
    <w:rsid w:val="00FB58BF"/>
    <w:rsid w:val="00FC2511"/>
    <w:rsid w:val="00FC60C7"/>
    <w:rsid w:val="00FD2116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character" w:customStyle="1" w:styleId="lewnzc">
    <w:name w:val="lewnzc"/>
    <w:basedOn w:val="Standardnpsmoodstavce"/>
    <w:rsid w:val="0020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vs.cvu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.pondelicek@c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e2ba7-7b93-4a60-aefa-0fe055dae1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6" ma:contentTypeDescription="Vytvoří nový dokument" ma:contentTypeScope="" ma:versionID="c0b31c7f5ebde3be12e5d450e4154d3a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5d2c2d616069c2ea73cc089d561ba36d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  <ds:schemaRef ds:uri="99be2ba7-7b93-4a60-aefa-0fe055dae1c2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6B3DE-2FE8-4970-8F31-79A748383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1F4ED-DB06-4468-A403-EBAF79B7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2</TotalTime>
  <Pages>2</Pages>
  <Words>897</Words>
  <Characters>5294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Wostra, Alzbeta</cp:lastModifiedBy>
  <cp:revision>2</cp:revision>
  <cp:lastPrinted>2025-05-13T09:32:00Z</cp:lastPrinted>
  <dcterms:created xsi:type="dcterms:W3CDTF">2025-05-13T10:03:00Z</dcterms:created>
  <dcterms:modified xsi:type="dcterms:W3CDTF">2025-05-13T10:03:00Z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